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72A6" w14:textId="11665E0B" w:rsidR="000110C1" w:rsidRDefault="00566220" w:rsidP="00566220">
      <w:pPr>
        <w:pStyle w:val="Heading1"/>
        <w:pBdr>
          <w:top w:val="none" w:sz="0" w:space="0" w:color="auto"/>
        </w:pBdr>
      </w:pPr>
      <w:r>
        <w:t>Preparatory Work Ahead of Kickoff Planning and Assessment Meeting</w:t>
      </w:r>
    </w:p>
    <w:p w14:paraId="42FD1203" w14:textId="106A8F93" w:rsidR="000110C1" w:rsidRDefault="000110C1" w:rsidP="00C44AB1">
      <w:pPr>
        <w:pStyle w:val="BodyText"/>
      </w:pPr>
      <w:r>
        <w:t xml:space="preserve">In </w:t>
      </w:r>
      <w:r w:rsidR="004B03EF">
        <w:t>our</w:t>
      </w:r>
      <w:r>
        <w:t xml:space="preserve"> second meeting</w:t>
      </w:r>
      <w:r w:rsidR="004B03EF">
        <w:t xml:space="preserve"> together</w:t>
      </w:r>
      <w:r>
        <w:t xml:space="preserve"> </w:t>
      </w:r>
      <w:r w:rsidR="009E1785">
        <w:t>we</w:t>
      </w:r>
      <w:r>
        <w:t xml:space="preserve"> will investigate current processes around care of patients on </w:t>
      </w:r>
      <w:r w:rsidR="009E1785">
        <w:t>long-term opioid</w:t>
      </w:r>
      <w:r>
        <w:t xml:space="preserve"> pain therapy, available patient resources, and available data</w:t>
      </w:r>
      <w:r w:rsidR="004B03EF">
        <w:t xml:space="preserve"> and stories to share at the Kickoff</w:t>
      </w:r>
      <w:r w:rsidR="005B45D9">
        <w:t xml:space="preserve">. </w:t>
      </w:r>
      <w:r w:rsidR="00A736E1">
        <w:t>If possible, we recommend doing the following ahead of the second meeting</w:t>
      </w:r>
      <w:r w:rsidR="009E1785">
        <w:t>.</w:t>
      </w:r>
    </w:p>
    <w:p w14:paraId="01A8D06A" w14:textId="66C8C59A" w:rsidR="000110C1" w:rsidRDefault="00CE6C36" w:rsidP="00CE6C36">
      <w:pPr>
        <w:pStyle w:val="Heading2"/>
      </w:pPr>
      <w:r w:rsidRPr="00CE6C36">
        <w:rPr>
          <w:bCs w:val="0"/>
        </w:rPr>
        <w:t>1.</w:t>
      </w:r>
      <w:r>
        <w:t xml:space="preserve"> </w:t>
      </w:r>
      <w:r w:rsidR="00033372">
        <w:t>Collect</w:t>
      </w:r>
      <w:r w:rsidR="00E012BB">
        <w:t xml:space="preserve"> and learn about</w:t>
      </w:r>
      <w:r w:rsidR="00033372">
        <w:t xml:space="preserve"> a</w:t>
      </w:r>
      <w:r w:rsidR="000110C1">
        <w:t>vailable patient resources</w:t>
      </w:r>
    </w:p>
    <w:p w14:paraId="44502562" w14:textId="6B36EA53" w:rsidR="000110C1" w:rsidRDefault="00E012BB" w:rsidP="00C44AB1">
      <w:pPr>
        <w:pStyle w:val="Bullet"/>
      </w:pPr>
      <w:r>
        <w:t>Currently used</w:t>
      </w:r>
      <w:r w:rsidR="000110C1">
        <w:t xml:space="preserve"> patient education materials </w:t>
      </w:r>
      <w:r>
        <w:t>related to opioid management</w:t>
      </w:r>
      <w:r w:rsidR="00566220">
        <w:t xml:space="preserve"> (please send to Practice Facilitator)</w:t>
      </w:r>
    </w:p>
    <w:p w14:paraId="1994FEB5" w14:textId="2E5B2FAA" w:rsidR="00E012BB" w:rsidRDefault="00E012BB" w:rsidP="00C44AB1">
      <w:pPr>
        <w:pStyle w:val="Bullet"/>
      </w:pPr>
      <w:r>
        <w:t>Existing non-opioid treatment resources for patients with chronic pain (e.g., physical therapy, behavioral health)</w:t>
      </w:r>
    </w:p>
    <w:p w14:paraId="51B70741" w14:textId="72BE1669" w:rsidR="000110C1" w:rsidRDefault="000110C1" w:rsidP="00C44AB1">
      <w:pPr>
        <w:pStyle w:val="Bullet"/>
      </w:pPr>
      <w:r>
        <w:t>Existing resources in your community</w:t>
      </w:r>
      <w:r w:rsidR="005B45D9">
        <w:t xml:space="preserve"> and </w:t>
      </w:r>
      <w:r w:rsidR="00E012BB">
        <w:t>clinic for patients with opioid use disorder or mental health concerns, such as depression, anxiety, and PTSD</w:t>
      </w:r>
      <w:r w:rsidR="006B735C">
        <w:t xml:space="preserve"> </w:t>
      </w:r>
    </w:p>
    <w:p w14:paraId="7459723D" w14:textId="2AC18FE9" w:rsidR="00033372" w:rsidRDefault="00566220" w:rsidP="00C44AB1">
      <w:pPr>
        <w:pStyle w:val="Heading2"/>
      </w:pPr>
      <w:r>
        <w:t>2</w:t>
      </w:r>
      <w:r w:rsidR="007B129E">
        <w:t xml:space="preserve">. </w:t>
      </w:r>
      <w:r w:rsidR="00833B65">
        <w:t>Begin to investigate</w:t>
      </w:r>
      <w:r w:rsidR="0026582B">
        <w:t xml:space="preserve"> what happens during </w:t>
      </w:r>
      <w:r w:rsidR="004B03EF">
        <w:t>patient</w:t>
      </w:r>
      <w:r w:rsidR="00E13755">
        <w:t xml:space="preserve"> visits and refill requests</w:t>
      </w:r>
    </w:p>
    <w:p w14:paraId="41D397D3" w14:textId="43C684BA" w:rsidR="0026582B" w:rsidRDefault="0026582B" w:rsidP="0026582B">
      <w:pPr>
        <w:pStyle w:val="BodyText"/>
      </w:pPr>
      <w:r>
        <w:t xml:space="preserve">We learned that thinking through what work is involved in patient visits and </w:t>
      </w:r>
      <w:r w:rsidR="005B45D9">
        <w:t>refill requests</w:t>
      </w:r>
      <w:r>
        <w:t xml:space="preserve"> is a natural way Opioid Improvement Teams ground themselves in thinking through key areas for improvement. </w:t>
      </w:r>
      <w:r w:rsidR="005B45D9">
        <w:t xml:space="preserve">We recommend that you </w:t>
      </w:r>
      <w:r w:rsidR="00833B65">
        <w:t xml:space="preserve">begin to </w:t>
      </w:r>
      <w:r w:rsidR="005B45D9">
        <w:t xml:space="preserve">talk to care teams to answer the questions below. This will lay the </w:t>
      </w:r>
      <w:r w:rsidR="000F1C85">
        <w:t>groundwork</w:t>
      </w:r>
      <w:r w:rsidR="005B45D9">
        <w:t xml:space="preserve"> for future workflow development.</w:t>
      </w:r>
      <w:r w:rsidR="00833B65">
        <w:t xml:space="preserve"> You can do more of this exploration later in the work.</w:t>
      </w:r>
    </w:p>
    <w:p w14:paraId="6C256958" w14:textId="42EEA8E6" w:rsidR="00D706FD" w:rsidRDefault="00D706FD" w:rsidP="005B45D9">
      <w:pPr>
        <w:pStyle w:val="Bullet"/>
      </w:pPr>
      <w:r>
        <w:t>How do staff and/or clinicians prepare for</w:t>
      </w:r>
      <w:r w:rsidR="00E012BB">
        <w:t xml:space="preserve"> visits with patients using long-term opioid therapy? </w:t>
      </w:r>
    </w:p>
    <w:p w14:paraId="72473B65" w14:textId="03758047" w:rsidR="00D706FD" w:rsidRDefault="00D706FD" w:rsidP="005B45D9">
      <w:pPr>
        <w:pStyle w:val="Bullet"/>
      </w:pPr>
      <w:r>
        <w:t xml:space="preserve">If your organization prepares for visits, what information is used? (e.g., chart reviews, a tracking system, Prescription </w:t>
      </w:r>
      <w:r w:rsidR="00E012BB">
        <w:t xml:space="preserve">Drug </w:t>
      </w:r>
      <w:r>
        <w:t>Monitoring Program)</w:t>
      </w:r>
    </w:p>
    <w:p w14:paraId="31BE7738" w14:textId="2CDF2992" w:rsidR="00D706FD" w:rsidRDefault="00D706FD" w:rsidP="005B45D9">
      <w:pPr>
        <w:pStyle w:val="Bullet"/>
      </w:pPr>
      <w:r>
        <w:t>What happens w</w:t>
      </w:r>
      <w:r w:rsidRPr="00AF61CC">
        <w:t>hen a patient comes in for an appointment that will</w:t>
      </w:r>
      <w:r>
        <w:t xml:space="preserve"> include an opioid prescription</w:t>
      </w:r>
      <w:r w:rsidR="004B03EF">
        <w:t>?</w:t>
      </w:r>
      <w:r w:rsidR="00E012BB">
        <w:t xml:space="preserve"> What is the process? </w:t>
      </w:r>
    </w:p>
    <w:p w14:paraId="72F07DFA" w14:textId="61CC8E70" w:rsidR="00D706FD" w:rsidRDefault="00D706FD" w:rsidP="005B45D9">
      <w:pPr>
        <w:pStyle w:val="Bullet"/>
      </w:pPr>
      <w:r>
        <w:t>What happens w</w:t>
      </w:r>
      <w:r w:rsidRPr="00AF61CC">
        <w:t xml:space="preserve">hen a patient </w:t>
      </w:r>
      <w:r>
        <w:t>calls for an opioid refill</w:t>
      </w:r>
      <w:r w:rsidR="00E012BB">
        <w:t xml:space="preserve">? What is the process? </w:t>
      </w:r>
    </w:p>
    <w:p w14:paraId="0F1DC979" w14:textId="0C0C53D5" w:rsidR="00D706FD" w:rsidRDefault="00E012BB" w:rsidP="005B45D9">
      <w:pPr>
        <w:pStyle w:val="Bullet"/>
      </w:pPr>
      <w:r>
        <w:t>What clinical tools are available and in use to support assessment and management of patients using long-term opioid therapy? (</w:t>
      </w:r>
      <w:r w:rsidRPr="00674E8A">
        <w:t xml:space="preserve">There are </w:t>
      </w:r>
      <w:hyperlink r:id="rId7" w:history="1">
        <w:r w:rsidRPr="00674E8A">
          <w:rPr>
            <w:rStyle w:val="Hyperlink"/>
          </w:rPr>
          <w:t>assessment resources</w:t>
        </w:r>
      </w:hyperlink>
      <w:r w:rsidRPr="00674E8A">
        <w:t xml:space="preserve"> on </w:t>
      </w:r>
      <w:r>
        <w:t xml:space="preserve">the </w:t>
      </w:r>
      <w:r w:rsidRPr="00674E8A">
        <w:t>website.</w:t>
      </w:r>
      <w:r>
        <w:t xml:space="preserve">) For example: </w:t>
      </w:r>
    </w:p>
    <w:p w14:paraId="04C6DEEF" w14:textId="3868E468" w:rsidR="00D706FD" w:rsidRDefault="00D706FD" w:rsidP="005B45D9">
      <w:pPr>
        <w:pStyle w:val="Subbullet"/>
      </w:pPr>
      <w:r>
        <w:t>Calculation of morphine equivalent dosing</w:t>
      </w:r>
    </w:p>
    <w:p w14:paraId="5C631E3C" w14:textId="3E1760D4" w:rsidR="00D706FD" w:rsidRPr="003C5A26" w:rsidRDefault="00D706FD" w:rsidP="005B45D9">
      <w:pPr>
        <w:pStyle w:val="Subbullet"/>
      </w:pPr>
      <w:r>
        <w:t>Patient function (e.g., PEG)</w:t>
      </w:r>
    </w:p>
    <w:p w14:paraId="618BD277" w14:textId="6FA94F28" w:rsidR="00D706FD" w:rsidRPr="0060185F" w:rsidRDefault="00D706FD" w:rsidP="005B45D9">
      <w:pPr>
        <w:pStyle w:val="Subbullet"/>
      </w:pPr>
      <w:r w:rsidRPr="0060185F">
        <w:t xml:space="preserve">Risk for opioid </w:t>
      </w:r>
      <w:r w:rsidR="00E012BB">
        <w:t>misuse, abuse, and opioid use disorder</w:t>
      </w:r>
      <w:r>
        <w:t xml:space="preserve"> (e.g., ORT</w:t>
      </w:r>
      <w:r w:rsidR="00E012BB">
        <w:t>, COMM, DSM-5</w:t>
      </w:r>
      <w:r>
        <w:t>)</w:t>
      </w:r>
    </w:p>
    <w:p w14:paraId="03A1C676" w14:textId="124A11CE" w:rsidR="00D706FD" w:rsidRPr="0060185F" w:rsidRDefault="00D706FD" w:rsidP="005B45D9">
      <w:pPr>
        <w:pStyle w:val="Subbullet"/>
      </w:pPr>
      <w:r w:rsidRPr="0060185F">
        <w:t>Anxiety, depression</w:t>
      </w:r>
      <w:r>
        <w:t xml:space="preserve"> (e.g., PHQ, GAD-7)</w:t>
      </w:r>
    </w:p>
    <w:p w14:paraId="70476026" w14:textId="36643E0D" w:rsidR="00D706FD" w:rsidRPr="0060185F" w:rsidRDefault="00D706FD" w:rsidP="005B45D9">
      <w:pPr>
        <w:pStyle w:val="Subbullet"/>
      </w:pPr>
      <w:r w:rsidRPr="0060185F">
        <w:t>PTSD</w:t>
      </w:r>
      <w:r>
        <w:t xml:space="preserve"> (PC-PTSD)</w:t>
      </w:r>
    </w:p>
    <w:p w14:paraId="400DD5D3" w14:textId="5793B0D9" w:rsidR="00D706FD" w:rsidRPr="0060185F" w:rsidRDefault="00D706FD" w:rsidP="00E012BB">
      <w:pPr>
        <w:pStyle w:val="Subbullet"/>
      </w:pPr>
      <w:r>
        <w:t>Sleep a</w:t>
      </w:r>
      <w:r w:rsidRPr="0060185F">
        <w:t>pnea</w:t>
      </w:r>
      <w:r>
        <w:t xml:space="preserve"> (</w:t>
      </w:r>
      <w:bookmarkStart w:id="0" w:name="_GoBack"/>
      <w:r>
        <w:t>STOPBang</w:t>
      </w:r>
      <w:bookmarkEnd w:id="0"/>
      <w:r>
        <w:t>)</w:t>
      </w:r>
    </w:p>
    <w:p w14:paraId="759E2812" w14:textId="1293E025" w:rsidR="000110C1" w:rsidRDefault="00566220" w:rsidP="00C44AB1">
      <w:pPr>
        <w:pStyle w:val="Heading2"/>
      </w:pPr>
      <w:r>
        <w:t>3</w:t>
      </w:r>
      <w:r w:rsidR="00134147">
        <w:t xml:space="preserve">. </w:t>
      </w:r>
      <w:r w:rsidR="004B03EF">
        <w:t>Identify data and stories to share at Kickoff</w:t>
      </w:r>
    </w:p>
    <w:p w14:paraId="149990C8" w14:textId="3A8A3DD0" w:rsidR="00464275" w:rsidRDefault="00BC3A7C" w:rsidP="00C44AB1">
      <w:pPr>
        <w:pStyle w:val="BodyText"/>
      </w:pPr>
      <w:r>
        <w:t xml:space="preserve">Data is a critical motivator and we have found it </w:t>
      </w:r>
      <w:r w:rsidR="0089407E">
        <w:t xml:space="preserve">is </w:t>
      </w:r>
      <w:r>
        <w:t xml:space="preserve">important to do what you can to identify key data points to share with clinicians and staff during the Kickoff Event. </w:t>
      </w:r>
      <w:r w:rsidR="00464275">
        <w:t xml:space="preserve">We understand that the data you produce for </w:t>
      </w:r>
      <w:r w:rsidR="004B03EF">
        <w:t xml:space="preserve">our next </w:t>
      </w:r>
      <w:r w:rsidR="00464275">
        <w:t xml:space="preserve">meeting will not be perfect. Don’t worry. Over the next </w:t>
      </w:r>
      <w:r w:rsidR="00832241">
        <w:t>year</w:t>
      </w:r>
      <w:r w:rsidR="00464275">
        <w:t xml:space="preserve">, </w:t>
      </w:r>
      <w:r w:rsidR="005B45D9">
        <w:t>you</w:t>
      </w:r>
      <w:r w:rsidR="00464275">
        <w:t xml:space="preserve"> will work together to create tracking and monitoring tools that will allow you to gather information about your chronic opioid therapy patients. For now, it </w:t>
      </w:r>
      <w:r w:rsidR="00464275">
        <w:lastRenderedPageBreak/>
        <w:t xml:space="preserve">is worth trying the following to begin understanding the limitations and strengths of </w:t>
      </w:r>
      <w:r w:rsidR="00C078E4">
        <w:t>various tracking and monitoring</w:t>
      </w:r>
      <w:r w:rsidR="00464275">
        <w:t xml:space="preserve"> approaches for your particular organization, and to gather some type of data to share during the Kickoff.</w:t>
      </w:r>
    </w:p>
    <w:p w14:paraId="1BA422D4" w14:textId="76E3C32E" w:rsidR="00134147" w:rsidRPr="009D078F" w:rsidRDefault="00134147" w:rsidP="00134147">
      <w:pPr>
        <w:pStyle w:val="BodyText"/>
      </w:pPr>
      <w:r>
        <w:t xml:space="preserve">Ahead of </w:t>
      </w:r>
      <w:r w:rsidR="002C2389">
        <w:t xml:space="preserve">the next </w:t>
      </w:r>
      <w:r>
        <w:t>meeting, please d</w:t>
      </w:r>
      <w:r w:rsidR="004B03EF">
        <w:t>o you best to do the following:</w:t>
      </w:r>
    </w:p>
    <w:p w14:paraId="201A7111" w14:textId="0D51B136" w:rsidR="00E012BB" w:rsidRDefault="004B03EF" w:rsidP="005B45D9">
      <w:pPr>
        <w:pStyle w:val="Number"/>
      </w:pPr>
      <w:r>
        <w:t>I</w:t>
      </w:r>
      <w:r w:rsidR="00E012BB" w:rsidRPr="001B5256">
        <w:t>dentif</w:t>
      </w:r>
      <w:r>
        <w:t>y</w:t>
      </w:r>
      <w:r w:rsidR="00E012BB" w:rsidRPr="001B5256">
        <w:t xml:space="preserve"> stories about patients </w:t>
      </w:r>
      <w:r w:rsidR="00E012BB">
        <w:t>using</w:t>
      </w:r>
      <w:r w:rsidR="00E012BB" w:rsidRPr="001B5256">
        <w:t xml:space="preserve"> </w:t>
      </w:r>
      <w:r w:rsidR="00E012BB">
        <w:t>long-term opioid therapy</w:t>
      </w:r>
      <w:r w:rsidR="00E012BB" w:rsidRPr="001B5256">
        <w:t xml:space="preserve"> to share during the </w:t>
      </w:r>
      <w:r w:rsidR="00E012BB">
        <w:t>clinic-wide k</w:t>
      </w:r>
      <w:r w:rsidR="00E012BB" w:rsidRPr="001B5256">
        <w:t>ickoff</w:t>
      </w:r>
      <w:r w:rsidR="00E012BB">
        <w:t>. These stories should</w:t>
      </w:r>
      <w:r w:rsidR="00E012BB" w:rsidRPr="001B5256">
        <w:t xml:space="preserve"> represent why this project is important. For instance, this could include a story of an adverse outcome (e.g., overdose, death, diversion) for a patient using long-term opioid therapy</w:t>
      </w:r>
      <w:r w:rsidR="00E012BB">
        <w:t>, or it could be a success story about tapering someone effectively while increasing function and quality of life</w:t>
      </w:r>
      <w:r w:rsidR="00E012BB" w:rsidRPr="001B5256">
        <w:t xml:space="preserve">. Stories are motivating and help center the organization on why this work is important. They are particularly important if there are no data to share at the </w:t>
      </w:r>
      <w:r w:rsidR="00E012BB">
        <w:t>kickoff</w:t>
      </w:r>
      <w:r w:rsidR="00E012BB" w:rsidRPr="001B5256">
        <w:t>.</w:t>
      </w:r>
    </w:p>
    <w:p w14:paraId="4C60B027" w14:textId="77777777" w:rsidR="00134147" w:rsidRDefault="00134147" w:rsidP="00134147">
      <w:pPr>
        <w:pStyle w:val="Number"/>
        <w:numPr>
          <w:ilvl w:val="0"/>
          <w:numId w:val="0"/>
        </w:numPr>
        <w:ind w:left="288"/>
      </w:pPr>
    </w:p>
    <w:p w14:paraId="36B26C55" w14:textId="7632BCA1" w:rsidR="00D30CC6" w:rsidRDefault="002F725A" w:rsidP="00B0386D">
      <w:pPr>
        <w:pStyle w:val="Number"/>
      </w:pPr>
      <w:r>
        <w:t>Attempt to identify h</w:t>
      </w:r>
      <w:r w:rsidR="000110C1">
        <w:t xml:space="preserve">ow many of your patients are on </w:t>
      </w:r>
      <w:r w:rsidR="004B03EF">
        <w:t>long-term opioid therapy</w:t>
      </w:r>
      <w:r w:rsidR="00C078E4">
        <w:t xml:space="preserve"> </w:t>
      </w:r>
      <w:r w:rsidR="000110C1">
        <w:t>for non-cancer pain</w:t>
      </w:r>
      <w:r>
        <w:t>.</w:t>
      </w:r>
      <w:r w:rsidR="00DF6DDF">
        <w:t xml:space="preserve"> </w:t>
      </w:r>
      <w:r w:rsidR="004B03EF">
        <w:t xml:space="preserve">Generally, a patient who takes opioids for </w:t>
      </w:r>
      <w:r w:rsidR="004B03EF" w:rsidRPr="009D328D">
        <w:t xml:space="preserve">three </w:t>
      </w:r>
      <w:r w:rsidR="004B03EF">
        <w:t xml:space="preserve">consecutive months is considered to be using long-term opioid therapy. How you practically define this can vary. A clinician may know his or her patients and be able to identify these patients. Or a staff member who handles opioid refills may do so when refilling a patient's medications. One common definition when using electronic health record data is any patient who has received at least two opioid prescriptions in the past 3 months, at least 28 days apart. </w:t>
      </w:r>
    </w:p>
    <w:p w14:paraId="33662300" w14:textId="77777777" w:rsidR="005B45D9" w:rsidRDefault="005B45D9" w:rsidP="005B45D9">
      <w:pPr>
        <w:pStyle w:val="ListParagraph"/>
      </w:pPr>
    </w:p>
    <w:p w14:paraId="003A38FF" w14:textId="6FF9D09C" w:rsidR="00537F2C" w:rsidRDefault="00D30CC6" w:rsidP="00C44AB1">
      <w:pPr>
        <w:pStyle w:val="Heading3"/>
      </w:pPr>
      <w:r>
        <w:t xml:space="preserve">Possible approaches to identifying patients on </w:t>
      </w:r>
      <w:r w:rsidR="004B03EF">
        <w:t>long-term opioid therapy</w:t>
      </w:r>
    </w:p>
    <w:p w14:paraId="25FE7F29" w14:textId="19403A65" w:rsidR="00CE6C36" w:rsidRDefault="00537F2C" w:rsidP="00537F2C">
      <w:pPr>
        <w:pStyle w:val="BodyText"/>
        <w:sectPr w:rsidR="00CE6C36" w:rsidSect="00C44AB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The following are potential techniques for identifying your patients on long-term opioid therapy. Additional details on these</w:t>
      </w:r>
      <w:r w:rsidR="00540F09">
        <w:t xml:space="preserve"> techniques are in the resource</w:t>
      </w:r>
      <w:r>
        <w:t xml:space="preserve"> </w:t>
      </w:r>
      <w:r>
        <w:rPr>
          <w:i/>
        </w:rPr>
        <w:t>Approaches to identifying your chronic opioid therapy patients.</w:t>
      </w:r>
      <w:r w:rsidR="00AC1806">
        <w:t xml:space="preserve"> </w:t>
      </w:r>
    </w:p>
    <w:p w14:paraId="024D2958" w14:textId="12B7888F" w:rsidR="00D30CC6" w:rsidRDefault="00D30CC6" w:rsidP="00C44AB1">
      <w:pPr>
        <w:pStyle w:val="Bullet"/>
      </w:pPr>
      <w:r>
        <w:t>MED query</w:t>
      </w:r>
    </w:p>
    <w:p w14:paraId="6537B5B6" w14:textId="77777777" w:rsidR="00D30CC6" w:rsidRDefault="00D30CC6" w:rsidP="00C44AB1">
      <w:pPr>
        <w:pStyle w:val="Bullet"/>
      </w:pPr>
      <w:r>
        <w:t>Patient agreement query</w:t>
      </w:r>
    </w:p>
    <w:p w14:paraId="2542EF6C" w14:textId="2F68B9FB" w:rsidR="00D30CC6" w:rsidRDefault="00D30CC6" w:rsidP="00C44AB1">
      <w:pPr>
        <w:pStyle w:val="Bullet"/>
      </w:pPr>
      <w:r>
        <w:t>Diagnosis/label query</w:t>
      </w:r>
      <w:r w:rsidR="00715F6F">
        <w:t xml:space="preserve"> (potential ICD-10 code: Z79.891</w:t>
      </w:r>
      <w:r w:rsidR="004F1D6F">
        <w:t>, F11.90</w:t>
      </w:r>
      <w:r w:rsidR="00715F6F">
        <w:t>)</w:t>
      </w:r>
    </w:p>
    <w:p w14:paraId="10858CFC" w14:textId="66A2B810" w:rsidR="00572065" w:rsidRDefault="00572065" w:rsidP="00C44AB1">
      <w:pPr>
        <w:pStyle w:val="Bullet"/>
      </w:pPr>
      <w:r>
        <w:t>Medications query</w:t>
      </w:r>
    </w:p>
    <w:p w14:paraId="13E7C6B9" w14:textId="61F509CB" w:rsidR="00D30CC6" w:rsidRDefault="00D30CC6" w:rsidP="00C44AB1">
      <w:pPr>
        <w:pStyle w:val="Bullet"/>
      </w:pPr>
      <w:r>
        <w:t>Prescription Monitoring Program (PMP) rep</w:t>
      </w:r>
      <w:r w:rsidR="00540F09">
        <w:t>ort</w:t>
      </w:r>
    </w:p>
    <w:p w14:paraId="3DBF5B6F" w14:textId="77777777" w:rsidR="00D30CC6" w:rsidRDefault="00D30CC6" w:rsidP="00C44AB1">
      <w:pPr>
        <w:pStyle w:val="Bullet"/>
      </w:pPr>
      <w:r>
        <w:t>Manual chart abstraction</w:t>
      </w:r>
    </w:p>
    <w:p w14:paraId="71237BF3" w14:textId="77777777" w:rsidR="00D30CC6" w:rsidRDefault="00D30CC6" w:rsidP="00C44AB1">
      <w:pPr>
        <w:pStyle w:val="Bullet"/>
      </w:pPr>
      <w:r>
        <w:t>EHR-native registry</w:t>
      </w:r>
    </w:p>
    <w:p w14:paraId="7957162E" w14:textId="77777777" w:rsidR="00D30CC6" w:rsidRDefault="00D30CC6" w:rsidP="00C44AB1">
      <w:pPr>
        <w:pStyle w:val="Bullet"/>
      </w:pPr>
      <w:r>
        <w:t>Proprietary software for EHR reporting</w:t>
      </w:r>
    </w:p>
    <w:p w14:paraId="1A73E919" w14:textId="1C30EC58" w:rsidR="00AC1806" w:rsidRDefault="00AC1806" w:rsidP="00C44AB1">
      <w:pPr>
        <w:pStyle w:val="Bullet"/>
      </w:pPr>
      <w:r>
        <w:t>Manually create a list as patients get opioid refill prescriptions</w:t>
      </w:r>
    </w:p>
    <w:p w14:paraId="3BC84170" w14:textId="77777777" w:rsidR="00CE6C36" w:rsidRDefault="00CE6C36" w:rsidP="00D30CC6">
      <w:pPr>
        <w:pStyle w:val="ListParagraph"/>
        <w:ind w:left="360"/>
        <w:sectPr w:rsidR="00CE6C36" w:rsidSect="00CE6C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64295F" w14:textId="2F611DFD" w:rsidR="00D30CC6" w:rsidRDefault="00D30CC6" w:rsidP="00D30CC6">
      <w:pPr>
        <w:pStyle w:val="ListParagraph"/>
        <w:ind w:left="360"/>
      </w:pPr>
    </w:p>
    <w:p w14:paraId="0B8930FE" w14:textId="0E2929E6" w:rsidR="00631425" w:rsidRDefault="005B45D9" w:rsidP="005B45D9">
      <w:pPr>
        <w:pStyle w:val="BodyText"/>
      </w:pPr>
      <w:r>
        <w:t>If it is feasible, c</w:t>
      </w:r>
      <w:r w:rsidR="00D30CC6">
        <w:t>ollect other data you might want to share at the Kickoff.</w:t>
      </w:r>
      <w:r w:rsidR="00C078E4">
        <w:t xml:space="preserve"> </w:t>
      </w:r>
      <w:r w:rsidR="00D30CC6">
        <w:t>If it is possible and simple to get data</w:t>
      </w:r>
      <w:r w:rsidR="00631425">
        <w:t xml:space="preserve"> </w:t>
      </w:r>
      <w:r w:rsidR="00B54C77">
        <w:t xml:space="preserve">for </w:t>
      </w:r>
      <w:r w:rsidR="00631425">
        <w:t>any of the following, go for it.</w:t>
      </w:r>
      <w:r w:rsidR="00C40EE5">
        <w:t xml:space="preserve"> For example:</w:t>
      </w:r>
    </w:p>
    <w:p w14:paraId="7C527249" w14:textId="77777777" w:rsidR="00631425" w:rsidRDefault="00631425" w:rsidP="00402F00">
      <w:pPr>
        <w:pStyle w:val="Bullet"/>
        <w:numPr>
          <w:ilvl w:val="1"/>
          <w:numId w:val="13"/>
        </w:numPr>
      </w:pPr>
      <w:r>
        <w:t>#/% with MED≥50, ≥90</w:t>
      </w:r>
    </w:p>
    <w:p w14:paraId="701BC06B" w14:textId="77777777" w:rsidR="00631425" w:rsidRDefault="00631425" w:rsidP="00402F00">
      <w:pPr>
        <w:pStyle w:val="Bullet"/>
        <w:numPr>
          <w:ilvl w:val="1"/>
          <w:numId w:val="13"/>
        </w:numPr>
      </w:pPr>
      <w:r>
        <w:t>#/% with a signed patient agreement</w:t>
      </w:r>
    </w:p>
    <w:p w14:paraId="4F96E805" w14:textId="77777777" w:rsidR="00631425" w:rsidRDefault="00631425" w:rsidP="00402F00">
      <w:pPr>
        <w:pStyle w:val="Bullet"/>
        <w:numPr>
          <w:ilvl w:val="1"/>
          <w:numId w:val="13"/>
        </w:numPr>
      </w:pPr>
      <w:r>
        <w:t>#/% also prescribed sedatives</w:t>
      </w:r>
    </w:p>
    <w:p w14:paraId="7D79D4D1" w14:textId="77777777" w:rsidR="005B45D9" w:rsidRDefault="005B45D9" w:rsidP="00C44AB1">
      <w:pPr>
        <w:pStyle w:val="BodyText"/>
      </w:pPr>
    </w:p>
    <w:p w14:paraId="783974C5" w14:textId="376D76F8" w:rsidR="00D97899" w:rsidRDefault="00631425" w:rsidP="00C44AB1">
      <w:pPr>
        <w:pStyle w:val="BodyText"/>
      </w:pPr>
      <w:r>
        <w:t xml:space="preserve">However, it is perfectly understandable if you do not yet have a system to easily pull this data. Instead, </w:t>
      </w:r>
      <w:r w:rsidR="00D30CC6">
        <w:t xml:space="preserve">you might just manually conduct an event tally of a measure of importance to you. An event tally form is included </w:t>
      </w:r>
      <w:r w:rsidR="00402F00">
        <w:t>below.</w:t>
      </w:r>
    </w:p>
    <w:p w14:paraId="52B27748" w14:textId="77777777" w:rsidR="004B03EF" w:rsidRDefault="004B03EF" w:rsidP="00C44AB1">
      <w:pPr>
        <w:pStyle w:val="Heading2"/>
      </w:pPr>
    </w:p>
    <w:p w14:paraId="4799A993" w14:textId="06DC7649" w:rsidR="00AC1806" w:rsidRDefault="00402F00" w:rsidP="00C44AB1">
      <w:pPr>
        <w:pStyle w:val="Heading2"/>
      </w:pPr>
      <w:r>
        <w:t>How to c</w:t>
      </w:r>
      <w:r w:rsidR="00AC1806">
        <w:t>onduct an event tally</w:t>
      </w:r>
    </w:p>
    <w:p w14:paraId="65243F9C" w14:textId="67AF60CD" w:rsidR="00905FFD" w:rsidRDefault="00DF6DDF" w:rsidP="00C44AB1">
      <w:pPr>
        <w:pStyle w:val="BodyText"/>
      </w:pPr>
      <w:r w:rsidRPr="00BC3A7C">
        <w:t>For one</w:t>
      </w:r>
      <w:r w:rsidR="000059B1">
        <w:t xml:space="preserve"> or two</w:t>
      </w:r>
      <w:r w:rsidRPr="00BC3A7C">
        <w:t xml:space="preserve"> week</w:t>
      </w:r>
      <w:r w:rsidR="000059B1">
        <w:t>s</w:t>
      </w:r>
      <w:r w:rsidRPr="00BC3A7C">
        <w:t>, use th</w:t>
      </w:r>
      <w:r w:rsidR="00AC1806">
        <w:t>is</w:t>
      </w:r>
      <w:r w:rsidRPr="00BC3A7C">
        <w:t xml:space="preserve"> tracking to manually tally </w:t>
      </w:r>
      <w:r w:rsidR="00905FFD">
        <w:t>an event of interest to your organization, such as:</w:t>
      </w:r>
    </w:p>
    <w:p w14:paraId="33881802" w14:textId="77777777" w:rsidR="00905FFD" w:rsidRDefault="00905FFD" w:rsidP="00C44AB1">
      <w:pPr>
        <w:pStyle w:val="Bullet"/>
      </w:pPr>
      <w:r>
        <w:t>H</w:t>
      </w:r>
      <w:r w:rsidR="00DF6DDF" w:rsidRPr="00BC3A7C">
        <w:t>ow many patients receive opioid prescriptions/refills</w:t>
      </w:r>
      <w:r>
        <w:t>?</w:t>
      </w:r>
    </w:p>
    <w:p w14:paraId="299E6C59" w14:textId="77777777" w:rsidR="00905FFD" w:rsidRDefault="00905FFD" w:rsidP="00C44AB1">
      <w:pPr>
        <w:pStyle w:val="Bullet"/>
      </w:pPr>
      <w:r>
        <w:t>How many calls do you receive for early refills?</w:t>
      </w:r>
    </w:p>
    <w:p w14:paraId="0ABF2939" w14:textId="294C4175" w:rsidR="00905FFD" w:rsidRDefault="00905FFD" w:rsidP="00C44AB1">
      <w:pPr>
        <w:pStyle w:val="Bullet"/>
      </w:pPr>
      <w:r>
        <w:t>How many requests for refills to do you receive on Fridays?</w:t>
      </w:r>
    </w:p>
    <w:p w14:paraId="6D77F48D" w14:textId="4CAB6902" w:rsidR="00765C42" w:rsidRDefault="00765C42" w:rsidP="00C44AB1">
      <w:pPr>
        <w:pStyle w:val="Bullet"/>
      </w:pPr>
      <w:r>
        <w:t>Look at each provider’s schedule over a one week period and calculate what proportion of the patients on the schedule are on chronic opioids?</w:t>
      </w:r>
    </w:p>
    <w:p w14:paraId="66EDF48E" w14:textId="7CC89679" w:rsidR="00432A18" w:rsidRPr="00432A18" w:rsidRDefault="000059B1" w:rsidP="00C44AB1">
      <w:pPr>
        <w:pStyle w:val="Heading3"/>
      </w:pPr>
      <w:r>
        <w:t>Event tally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C44AB1" w:rsidRPr="00432A18" w14:paraId="370A39B0" w14:textId="77777777" w:rsidTr="00C44AB1">
        <w:tc>
          <w:tcPr>
            <w:tcW w:w="1345" w:type="dxa"/>
            <w:shd w:val="clear" w:color="auto" w:fill="2E74B5" w:themeFill="accent1" w:themeFillShade="BF"/>
          </w:tcPr>
          <w:p w14:paraId="1521CD14" w14:textId="07330148" w:rsidR="00C44AB1" w:rsidRPr="00432A18" w:rsidRDefault="00C44AB1" w:rsidP="00C44AB1">
            <w:pPr>
              <w:pStyle w:val="Tableheader"/>
            </w:pPr>
            <w:r>
              <w:t>Day</w:t>
            </w:r>
          </w:p>
        </w:tc>
        <w:tc>
          <w:tcPr>
            <w:tcW w:w="8100" w:type="dxa"/>
            <w:shd w:val="clear" w:color="auto" w:fill="2E74B5" w:themeFill="accent1" w:themeFillShade="BF"/>
          </w:tcPr>
          <w:p w14:paraId="4CC52FF0" w14:textId="1021B626" w:rsidR="00C44AB1" w:rsidRPr="00432A18" w:rsidRDefault="00C44AB1" w:rsidP="00C44AB1">
            <w:pPr>
              <w:pStyle w:val="Tableheader"/>
            </w:pPr>
            <w:r>
              <w:t>Number of times the event of interest occurs</w:t>
            </w:r>
          </w:p>
        </w:tc>
      </w:tr>
      <w:tr w:rsidR="00C44AB1" w:rsidRPr="00432A18" w14:paraId="6E21ED7F" w14:textId="77777777" w:rsidTr="00C44AB1">
        <w:tc>
          <w:tcPr>
            <w:tcW w:w="1345" w:type="dxa"/>
            <w:shd w:val="clear" w:color="auto" w:fill="DEEAF6" w:themeFill="accent1" w:themeFillTint="33"/>
          </w:tcPr>
          <w:p w14:paraId="1E53DB99" w14:textId="4A2F2047" w:rsidR="00C44AB1" w:rsidRPr="00432A18" w:rsidRDefault="00C44AB1" w:rsidP="00C44AB1">
            <w:pPr>
              <w:pStyle w:val="TableParagraph"/>
            </w:pPr>
            <w:r>
              <w:t>Monday</w:t>
            </w:r>
          </w:p>
        </w:tc>
        <w:tc>
          <w:tcPr>
            <w:tcW w:w="8100" w:type="dxa"/>
          </w:tcPr>
          <w:p w14:paraId="121C3B13" w14:textId="77777777" w:rsidR="00C44AB1" w:rsidRPr="00432A18" w:rsidRDefault="00C44AB1" w:rsidP="00432A18"/>
        </w:tc>
      </w:tr>
      <w:tr w:rsidR="00C44AB1" w:rsidRPr="00432A18" w14:paraId="20668F85" w14:textId="77777777" w:rsidTr="00C44AB1">
        <w:tc>
          <w:tcPr>
            <w:tcW w:w="1345" w:type="dxa"/>
            <w:shd w:val="clear" w:color="auto" w:fill="DEEAF6" w:themeFill="accent1" w:themeFillTint="33"/>
          </w:tcPr>
          <w:p w14:paraId="1458D697" w14:textId="2D715E80" w:rsidR="00C44AB1" w:rsidRDefault="00C44AB1" w:rsidP="00C44AB1">
            <w:pPr>
              <w:pStyle w:val="TableParagraph"/>
            </w:pPr>
            <w:r>
              <w:t>Tuesday</w:t>
            </w:r>
          </w:p>
        </w:tc>
        <w:tc>
          <w:tcPr>
            <w:tcW w:w="8100" w:type="dxa"/>
          </w:tcPr>
          <w:p w14:paraId="2F2D1388" w14:textId="77777777" w:rsidR="00C44AB1" w:rsidRPr="00432A18" w:rsidRDefault="00C44AB1" w:rsidP="00432A18"/>
        </w:tc>
      </w:tr>
      <w:tr w:rsidR="00C44AB1" w:rsidRPr="00432A18" w14:paraId="6BF82F8A" w14:textId="77777777" w:rsidTr="00C44AB1">
        <w:tc>
          <w:tcPr>
            <w:tcW w:w="1345" w:type="dxa"/>
            <w:shd w:val="clear" w:color="auto" w:fill="DEEAF6" w:themeFill="accent1" w:themeFillTint="33"/>
          </w:tcPr>
          <w:p w14:paraId="6CBDE2DD" w14:textId="649DC85E" w:rsidR="00C44AB1" w:rsidRDefault="00C44AB1" w:rsidP="00C44AB1">
            <w:pPr>
              <w:pStyle w:val="TableParagraph"/>
            </w:pPr>
            <w:r>
              <w:t>Wednesday</w:t>
            </w:r>
          </w:p>
        </w:tc>
        <w:tc>
          <w:tcPr>
            <w:tcW w:w="8100" w:type="dxa"/>
          </w:tcPr>
          <w:p w14:paraId="4BB51FFC" w14:textId="77777777" w:rsidR="00C44AB1" w:rsidRPr="00432A18" w:rsidRDefault="00C44AB1" w:rsidP="00432A18"/>
        </w:tc>
      </w:tr>
      <w:tr w:rsidR="00C44AB1" w:rsidRPr="00432A18" w14:paraId="235B767D" w14:textId="77777777" w:rsidTr="00C44AB1">
        <w:tc>
          <w:tcPr>
            <w:tcW w:w="1345" w:type="dxa"/>
            <w:shd w:val="clear" w:color="auto" w:fill="DEEAF6" w:themeFill="accent1" w:themeFillTint="33"/>
          </w:tcPr>
          <w:p w14:paraId="529677FB" w14:textId="734BA1A1" w:rsidR="00C44AB1" w:rsidRDefault="00C44AB1" w:rsidP="00C44AB1">
            <w:pPr>
              <w:pStyle w:val="TableParagraph"/>
            </w:pPr>
            <w:r>
              <w:t>Thursday</w:t>
            </w:r>
          </w:p>
        </w:tc>
        <w:tc>
          <w:tcPr>
            <w:tcW w:w="8100" w:type="dxa"/>
          </w:tcPr>
          <w:p w14:paraId="7185C2CE" w14:textId="77777777" w:rsidR="00C44AB1" w:rsidRPr="00432A18" w:rsidRDefault="00C44AB1" w:rsidP="00432A18"/>
        </w:tc>
      </w:tr>
      <w:tr w:rsidR="00C44AB1" w:rsidRPr="00432A18" w14:paraId="7A412D89" w14:textId="77777777" w:rsidTr="00C44AB1">
        <w:tc>
          <w:tcPr>
            <w:tcW w:w="1345" w:type="dxa"/>
            <w:shd w:val="clear" w:color="auto" w:fill="DEEAF6" w:themeFill="accent1" w:themeFillTint="33"/>
          </w:tcPr>
          <w:p w14:paraId="7C2C2C4E" w14:textId="05D61E55" w:rsidR="00C44AB1" w:rsidRDefault="00C44AB1" w:rsidP="00C44AB1">
            <w:pPr>
              <w:pStyle w:val="TableParagraph"/>
            </w:pPr>
            <w:r>
              <w:t>Friday</w:t>
            </w:r>
          </w:p>
        </w:tc>
        <w:tc>
          <w:tcPr>
            <w:tcW w:w="8100" w:type="dxa"/>
          </w:tcPr>
          <w:p w14:paraId="45AC94B6" w14:textId="77777777" w:rsidR="00C44AB1" w:rsidRPr="00432A18" w:rsidRDefault="00C44AB1" w:rsidP="00432A18"/>
        </w:tc>
      </w:tr>
      <w:tr w:rsidR="00C44AB1" w:rsidRPr="00432A18" w14:paraId="06101C69" w14:textId="77777777" w:rsidTr="00C44AB1">
        <w:tc>
          <w:tcPr>
            <w:tcW w:w="1345" w:type="dxa"/>
            <w:shd w:val="clear" w:color="auto" w:fill="DEEAF6" w:themeFill="accent1" w:themeFillTint="33"/>
          </w:tcPr>
          <w:p w14:paraId="511B8110" w14:textId="08BF66C2" w:rsidR="00C44AB1" w:rsidRDefault="00C44AB1" w:rsidP="00C44AB1">
            <w:pPr>
              <w:pStyle w:val="TableParagraph"/>
            </w:pPr>
            <w:r>
              <w:t>Saturday</w:t>
            </w:r>
          </w:p>
        </w:tc>
        <w:tc>
          <w:tcPr>
            <w:tcW w:w="8100" w:type="dxa"/>
          </w:tcPr>
          <w:p w14:paraId="27333514" w14:textId="77777777" w:rsidR="00C44AB1" w:rsidRPr="00432A18" w:rsidRDefault="00C44AB1" w:rsidP="00432A18"/>
        </w:tc>
      </w:tr>
      <w:tr w:rsidR="00C44AB1" w:rsidRPr="00432A18" w14:paraId="66897600" w14:textId="77777777" w:rsidTr="00C44AB1">
        <w:tc>
          <w:tcPr>
            <w:tcW w:w="1345" w:type="dxa"/>
            <w:shd w:val="clear" w:color="auto" w:fill="DEEAF6" w:themeFill="accent1" w:themeFillTint="33"/>
          </w:tcPr>
          <w:p w14:paraId="581BCEF0" w14:textId="4F481E84" w:rsidR="00C44AB1" w:rsidRDefault="00C44AB1" w:rsidP="00C44AB1">
            <w:pPr>
              <w:pStyle w:val="TableParagraph"/>
            </w:pPr>
            <w:r>
              <w:t>Sunday</w:t>
            </w:r>
          </w:p>
        </w:tc>
        <w:tc>
          <w:tcPr>
            <w:tcW w:w="8100" w:type="dxa"/>
          </w:tcPr>
          <w:p w14:paraId="3DDEA5C1" w14:textId="77777777" w:rsidR="00C44AB1" w:rsidRPr="00432A18" w:rsidRDefault="00C44AB1" w:rsidP="00432A18"/>
        </w:tc>
      </w:tr>
    </w:tbl>
    <w:p w14:paraId="74B7AD8D" w14:textId="6C6D57D5" w:rsidR="002F725A" w:rsidRDefault="002F725A" w:rsidP="00C44AB1"/>
    <w:sectPr w:rsidR="002F725A" w:rsidSect="00CE6C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3113C9" w16cid:durableId="1EA6CFC3"/>
  <w16cid:commentId w16cid:paraId="1C7FB348" w16cid:durableId="1EA6CFC4"/>
  <w16cid:commentId w16cid:paraId="0F859A72" w16cid:durableId="1EA6D09E"/>
  <w16cid:commentId w16cid:paraId="220C1B1C" w16cid:durableId="1EA6CFC5"/>
  <w16cid:commentId w16cid:paraId="7599D7E6" w16cid:durableId="1EA6CFC6"/>
  <w16cid:commentId w16cid:paraId="0E190DAE" w16cid:durableId="1EA6D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9DE1" w14:textId="77777777" w:rsidR="008C136E" w:rsidRDefault="008C136E" w:rsidP="00AC27E2">
      <w:pPr>
        <w:spacing w:after="0" w:line="240" w:lineRule="auto"/>
      </w:pPr>
      <w:r>
        <w:separator/>
      </w:r>
    </w:p>
  </w:endnote>
  <w:endnote w:type="continuationSeparator" w:id="0">
    <w:p w14:paraId="2F7B2133" w14:textId="77777777" w:rsidR="008C136E" w:rsidRDefault="008C136E" w:rsidP="00AC27E2">
      <w:pPr>
        <w:spacing w:after="0" w:line="240" w:lineRule="auto"/>
      </w:pPr>
      <w:r>
        <w:continuationSeparator/>
      </w:r>
    </w:p>
  </w:endnote>
  <w:endnote w:type="continuationNotice" w:id="1">
    <w:p w14:paraId="710F2AED" w14:textId="77777777" w:rsidR="00F338EA" w:rsidRDefault="00F33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E10FF" w14:textId="77777777" w:rsidR="00CE6C36" w:rsidRDefault="00CE6C36" w:rsidP="00CE6C36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8242" behindDoc="0" locked="0" layoutInCell="1" allowOverlap="1" wp14:anchorId="7F56A352" wp14:editId="0508DA1D">
              <wp:simplePos x="0" y="0"/>
              <wp:positionH relativeFrom="margin">
                <wp:posOffset>5233035</wp:posOffset>
              </wp:positionH>
              <wp:positionV relativeFrom="page">
                <wp:posOffset>9176385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0" layoutInCell="0" allowOverlap="1" wp14:anchorId="4310FC89" wp14:editId="40BC6B29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3BECF04" w14:textId="18167E86" w:rsidR="00CE6C36" w:rsidRPr="007E5239" w:rsidRDefault="00CE6C36" w:rsidP="00CE6C36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BLOCKS: PRE</w:t>
        </w:r>
        <w:r w:rsidR="004B03EF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PARATORY WORK AHEAD OF KICKOFF PLANNING &amp; ASSESSMENT </w:t>
        </w:r>
        <w:proofErr w:type="gramStart"/>
        <w:r w:rsidR="004B03E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HANDOUT</w:t>
        </w:r>
        <w:r w:rsidR="00134147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</w:t>
        </w:r>
        <w:proofErr w:type="gramEnd"/>
        <w:r w:rsidR="00134147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2019</w:t>
        </w:r>
        <w:r w:rsidR="00540F0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134147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</w:t>
        </w:r>
        <w:r w:rsidR="004B03E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6</w:t>
        </w:r>
        <w:r w:rsidR="00540F0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134147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</w:t>
        </w:r>
        <w:r w:rsidR="004B03E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6</w:t>
        </w:r>
      </w:p>
      <w:p w14:paraId="5A18B820" w14:textId="77777777" w:rsidR="00CE6C36" w:rsidRDefault="00CE6C36" w:rsidP="00CE6C36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6BF49544" w14:textId="0C7CB96F" w:rsidR="00AC27E2" w:rsidRPr="00CE6C36" w:rsidRDefault="00CE6C36" w:rsidP="00CE6C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534A" w14:textId="77777777" w:rsidR="008C136E" w:rsidRDefault="008C136E" w:rsidP="00AC27E2">
      <w:pPr>
        <w:spacing w:after="0" w:line="240" w:lineRule="auto"/>
      </w:pPr>
      <w:r>
        <w:separator/>
      </w:r>
    </w:p>
  </w:footnote>
  <w:footnote w:type="continuationSeparator" w:id="0">
    <w:p w14:paraId="2ED1B956" w14:textId="77777777" w:rsidR="008C136E" w:rsidRDefault="008C136E" w:rsidP="00AC27E2">
      <w:pPr>
        <w:spacing w:after="0" w:line="240" w:lineRule="auto"/>
      </w:pPr>
      <w:r>
        <w:continuationSeparator/>
      </w:r>
    </w:p>
  </w:footnote>
  <w:footnote w:type="continuationNotice" w:id="1">
    <w:p w14:paraId="4CB8C36E" w14:textId="77777777" w:rsidR="00F338EA" w:rsidRDefault="00F338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CC8D6" w14:textId="1BD861F5" w:rsidR="00566220" w:rsidRDefault="0056622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732AAB3" wp14:editId="1767D2A6">
          <wp:simplePos x="0" y="0"/>
          <wp:positionH relativeFrom="page">
            <wp:posOffset>-155790</wp:posOffset>
          </wp:positionH>
          <wp:positionV relativeFrom="paragraph">
            <wp:posOffset>-500177</wp:posOffset>
          </wp:positionV>
          <wp:extent cx="7881014" cy="889140"/>
          <wp:effectExtent l="0" t="0" r="571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Heade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1014" cy="88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9E"/>
    <w:multiLevelType w:val="multilevel"/>
    <w:tmpl w:val="FC002E58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7269D6"/>
    <w:multiLevelType w:val="hybridMultilevel"/>
    <w:tmpl w:val="F1504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5A7A"/>
    <w:multiLevelType w:val="hybridMultilevel"/>
    <w:tmpl w:val="F880F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16F07"/>
    <w:multiLevelType w:val="hybridMultilevel"/>
    <w:tmpl w:val="441A0584"/>
    <w:lvl w:ilvl="0" w:tplc="71B816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26D5"/>
    <w:multiLevelType w:val="multilevel"/>
    <w:tmpl w:val="DC7C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191D7F"/>
    <w:multiLevelType w:val="hybridMultilevel"/>
    <w:tmpl w:val="7AE6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0E0E"/>
    <w:multiLevelType w:val="hybridMultilevel"/>
    <w:tmpl w:val="E71E116A"/>
    <w:lvl w:ilvl="0" w:tplc="D85E0F3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A677B"/>
    <w:multiLevelType w:val="hybridMultilevel"/>
    <w:tmpl w:val="B438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41A8"/>
    <w:multiLevelType w:val="hybridMultilevel"/>
    <w:tmpl w:val="1EC02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3401A"/>
    <w:multiLevelType w:val="hybridMultilevel"/>
    <w:tmpl w:val="F130759E"/>
    <w:lvl w:ilvl="0" w:tplc="D85E0F38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A4144"/>
    <w:multiLevelType w:val="hybridMultilevel"/>
    <w:tmpl w:val="AC56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04D3"/>
    <w:multiLevelType w:val="multilevel"/>
    <w:tmpl w:val="7BD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9D633C4"/>
    <w:multiLevelType w:val="hybridMultilevel"/>
    <w:tmpl w:val="3A5AF5B0"/>
    <w:lvl w:ilvl="0" w:tplc="975AFD10">
      <w:start w:val="1"/>
      <w:numFmt w:val="bullet"/>
      <w:pStyle w:val="Checklist"/>
      <w:lvlText w:val=""/>
      <w:lvlJc w:val="left"/>
      <w:pPr>
        <w:ind w:left="108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BF5745"/>
    <w:multiLevelType w:val="hybridMultilevel"/>
    <w:tmpl w:val="5E68249C"/>
    <w:lvl w:ilvl="0" w:tplc="B810EE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547E7D"/>
    <w:multiLevelType w:val="hybridMultilevel"/>
    <w:tmpl w:val="9D4E6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20FEB"/>
    <w:multiLevelType w:val="hybridMultilevel"/>
    <w:tmpl w:val="DCE82A7C"/>
    <w:lvl w:ilvl="0" w:tplc="6D3C1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F5189"/>
    <w:multiLevelType w:val="hybridMultilevel"/>
    <w:tmpl w:val="6CF67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E154B"/>
    <w:multiLevelType w:val="hybridMultilevel"/>
    <w:tmpl w:val="064E4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19"/>
  </w:num>
  <w:num w:numId="14">
    <w:abstractNumId w:val="17"/>
  </w:num>
  <w:num w:numId="15">
    <w:abstractNumId w:val="8"/>
  </w:num>
  <w:num w:numId="16">
    <w:abstractNumId w:val="12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linkStyl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1"/>
    <w:rsid w:val="000059B1"/>
    <w:rsid w:val="000110C1"/>
    <w:rsid w:val="00022EE3"/>
    <w:rsid w:val="00032F54"/>
    <w:rsid w:val="00033372"/>
    <w:rsid w:val="00080E63"/>
    <w:rsid w:val="00087DA1"/>
    <w:rsid w:val="000F1C85"/>
    <w:rsid w:val="000F74A4"/>
    <w:rsid w:val="00114473"/>
    <w:rsid w:val="00134147"/>
    <w:rsid w:val="001C369F"/>
    <w:rsid w:val="001E7AC0"/>
    <w:rsid w:val="00220FF4"/>
    <w:rsid w:val="00231E20"/>
    <w:rsid w:val="0024404D"/>
    <w:rsid w:val="0026582B"/>
    <w:rsid w:val="002C2389"/>
    <w:rsid w:val="002E3281"/>
    <w:rsid w:val="002F725A"/>
    <w:rsid w:val="00322403"/>
    <w:rsid w:val="003241AC"/>
    <w:rsid w:val="003738ED"/>
    <w:rsid w:val="00392206"/>
    <w:rsid w:val="00402F00"/>
    <w:rsid w:val="0043256C"/>
    <w:rsid w:val="00432A18"/>
    <w:rsid w:val="00464275"/>
    <w:rsid w:val="004B03EF"/>
    <w:rsid w:val="004B044B"/>
    <w:rsid w:val="004D0F8F"/>
    <w:rsid w:val="004E6296"/>
    <w:rsid w:val="004F1D6F"/>
    <w:rsid w:val="004F581B"/>
    <w:rsid w:val="00537F2C"/>
    <w:rsid w:val="00540F09"/>
    <w:rsid w:val="005566EA"/>
    <w:rsid w:val="00566220"/>
    <w:rsid w:val="00571BA3"/>
    <w:rsid w:val="00572065"/>
    <w:rsid w:val="005B45D9"/>
    <w:rsid w:val="005C07C5"/>
    <w:rsid w:val="005E6CED"/>
    <w:rsid w:val="005F1AD5"/>
    <w:rsid w:val="00631425"/>
    <w:rsid w:val="006471AC"/>
    <w:rsid w:val="006A2D06"/>
    <w:rsid w:val="006A6BDA"/>
    <w:rsid w:val="006B735C"/>
    <w:rsid w:val="00715F6F"/>
    <w:rsid w:val="00765C42"/>
    <w:rsid w:val="00770F7E"/>
    <w:rsid w:val="007B129E"/>
    <w:rsid w:val="007B62F3"/>
    <w:rsid w:val="00832241"/>
    <w:rsid w:val="00833B65"/>
    <w:rsid w:val="0089407E"/>
    <w:rsid w:val="00894D3B"/>
    <w:rsid w:val="008A58A7"/>
    <w:rsid w:val="008C136E"/>
    <w:rsid w:val="00905FFD"/>
    <w:rsid w:val="00966A11"/>
    <w:rsid w:val="009A2387"/>
    <w:rsid w:val="009D078F"/>
    <w:rsid w:val="009E1785"/>
    <w:rsid w:val="00A44F42"/>
    <w:rsid w:val="00A736E1"/>
    <w:rsid w:val="00AB29A8"/>
    <w:rsid w:val="00AC1806"/>
    <w:rsid w:val="00AC2005"/>
    <w:rsid w:val="00AC27E2"/>
    <w:rsid w:val="00B301E8"/>
    <w:rsid w:val="00B54C77"/>
    <w:rsid w:val="00B61E9F"/>
    <w:rsid w:val="00BC3A7C"/>
    <w:rsid w:val="00BE479B"/>
    <w:rsid w:val="00C078E4"/>
    <w:rsid w:val="00C248B5"/>
    <w:rsid w:val="00C40EE5"/>
    <w:rsid w:val="00C44AB1"/>
    <w:rsid w:val="00C53409"/>
    <w:rsid w:val="00C553C8"/>
    <w:rsid w:val="00C63CB6"/>
    <w:rsid w:val="00C768C8"/>
    <w:rsid w:val="00C86929"/>
    <w:rsid w:val="00CA5523"/>
    <w:rsid w:val="00CD461F"/>
    <w:rsid w:val="00CE6C36"/>
    <w:rsid w:val="00D27F15"/>
    <w:rsid w:val="00D30CC6"/>
    <w:rsid w:val="00D706FD"/>
    <w:rsid w:val="00D81737"/>
    <w:rsid w:val="00D97899"/>
    <w:rsid w:val="00DE7D63"/>
    <w:rsid w:val="00DF6DDF"/>
    <w:rsid w:val="00E0118D"/>
    <w:rsid w:val="00E012BB"/>
    <w:rsid w:val="00E12341"/>
    <w:rsid w:val="00E13755"/>
    <w:rsid w:val="00E44F98"/>
    <w:rsid w:val="00E744EA"/>
    <w:rsid w:val="00ED0163"/>
    <w:rsid w:val="00ED1E33"/>
    <w:rsid w:val="00F107FD"/>
    <w:rsid w:val="00F338EA"/>
    <w:rsid w:val="00F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BD61"/>
  <w15:chartTrackingRefBased/>
  <w15:docId w15:val="{4ADF074D-52F8-450B-97A7-89269300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D9"/>
  </w:style>
  <w:style w:type="paragraph" w:styleId="Heading1">
    <w:name w:val="heading 1"/>
    <w:next w:val="BodyText"/>
    <w:link w:val="Heading1Char"/>
    <w:uiPriority w:val="9"/>
    <w:qFormat/>
    <w:rsid w:val="005B45D9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5B45D9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5B45D9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5B45D9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12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5D9"/>
    <w:rPr>
      <w:rFonts w:ascii="Corbel" w:eastAsiaTheme="majorEastAsia" w:hAnsi="Corbel" w:cstheme="majorBidi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5D9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ListParagraph">
    <w:name w:val="List Paragraph"/>
    <w:basedOn w:val="Normal"/>
    <w:uiPriority w:val="34"/>
    <w:qFormat/>
    <w:rsid w:val="00011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D9"/>
  </w:style>
  <w:style w:type="paragraph" w:styleId="Footer">
    <w:name w:val="footer"/>
    <w:basedOn w:val="Normal"/>
    <w:link w:val="FooterChar"/>
    <w:uiPriority w:val="99"/>
    <w:unhideWhenUsed/>
    <w:rsid w:val="005B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D9"/>
  </w:style>
  <w:style w:type="paragraph" w:styleId="Title">
    <w:name w:val="Title"/>
    <w:basedOn w:val="Normal"/>
    <w:next w:val="Normal"/>
    <w:link w:val="TitleChar"/>
    <w:uiPriority w:val="10"/>
    <w:qFormat/>
    <w:rsid w:val="00E44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B45D9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45D9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5D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5B45D9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5B45D9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5B45D9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5B45D9"/>
    <w:pPr>
      <w:numPr>
        <w:numId w:val="13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5B45D9"/>
    <w:pPr>
      <w:numPr>
        <w:numId w:val="14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5B45D9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5B45D9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5B45D9"/>
    <w:pPr>
      <w:numPr>
        <w:numId w:val="15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5B45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5B45D9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5B45D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Endofdocument">
    <w:name w:val="End of document"/>
    <w:basedOn w:val="Normal"/>
    <w:qFormat/>
    <w:rsid w:val="005B45D9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5B45D9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5B45D9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5B45D9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5B45D9"/>
    <w:rPr>
      <w:i/>
      <w:iCs/>
    </w:rPr>
  </w:style>
  <w:style w:type="paragraph" w:customStyle="1" w:styleId="tablehead">
    <w:name w:val="table head"/>
    <w:basedOn w:val="Normal"/>
    <w:uiPriority w:val="99"/>
    <w:rsid w:val="005B45D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5B45D9"/>
    <w:pPr>
      <w:numPr>
        <w:numId w:val="19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paragraph" w:customStyle="1" w:styleId="Checks">
    <w:name w:val="Checks"/>
    <w:basedOn w:val="BodyText"/>
    <w:qFormat/>
    <w:rsid w:val="00D706FD"/>
    <w:pPr>
      <w:pBdr>
        <w:top w:val="single" w:sz="18" w:space="1" w:color="FFC000" w:themeColor="accent4"/>
        <w:left w:val="single" w:sz="18" w:space="4" w:color="FFC000" w:themeColor="accent4"/>
        <w:bottom w:val="single" w:sz="18" w:space="1" w:color="FFC000" w:themeColor="accent4"/>
        <w:right w:val="single" w:sz="18" w:space="4" w:color="FFC000" w:themeColor="accent4"/>
      </w:pBdr>
      <w:spacing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E012B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hecklist">
    <w:name w:val="Checklist"/>
    <w:basedOn w:val="ListParagraph"/>
    <w:qFormat/>
    <w:rsid w:val="00E012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fammed/improvingopioidcare/helpful-resources/recommended-assessments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Desktop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16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10</cp:revision>
  <dcterms:created xsi:type="dcterms:W3CDTF">2019-06-06T22:49:00Z</dcterms:created>
  <dcterms:modified xsi:type="dcterms:W3CDTF">2019-06-11T23:48:00Z</dcterms:modified>
</cp:coreProperties>
</file>